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5ACDCC18" w:rsidR="00983132" w:rsidRPr="007B7199" w:rsidRDefault="00F703C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F703CD">
              <w:rPr>
                <w:rFonts w:asciiTheme="minorHAnsi" w:hAnsiTheme="minorHAnsi" w:cs="Calibri"/>
                <w:bCs/>
              </w:rPr>
              <w:t>Komplexní úklid Pardubické nemocnice společnosti Nemocnice Pardubického kraje, a.s.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B9B8774" w14:textId="77777777" w:rsidR="000608D5" w:rsidRDefault="000608D5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77777777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4EE51500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>obsahuje ocenění všech plnění prodávajícího nutných k řádnému splnění předmětné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 w:rsidR="00BB62C2"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7777777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32A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85EC-BABE-41D2-8EB4-6B11BDB7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250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2054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218</cp:revision>
  <cp:lastPrinted>2018-10-15T06:15:00Z</cp:lastPrinted>
  <dcterms:created xsi:type="dcterms:W3CDTF">2015-09-21T07:06:00Z</dcterms:created>
  <dcterms:modified xsi:type="dcterms:W3CDTF">2019-03-18T11:23:00Z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